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Core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="http://schemas.openxmlformats.org/officeDocument/2006/math" xmlns:mc="http://schemas.openxmlformats.org/markup-compatibility/2006" xmlns:ck="urn:clarkdown:docx" mc:Ignorable="ck">
  <w:body>
    <w:p>
      <w:pPr>
        <w:pStyle w:val="Heading1"/>
        <ck:id v="flat-fee-legal-services-agreement"/>
      </w:pPr>
      <w:bookmarkStart w:id="0" w:name="flat_fee_legal_services_agreement"/>
      <w:r>
        <w:t>Flat Fee Legal Services Agreement</w:t>
      </w:r>
      <w:bookmarkEnd w:id="0"/>
    </w:p>
    <w:p>
      <w:r>
        <w:rPr>
          <w:i/>
        </w:rPr>
        <w:t>Template — customize all bracketed fields and review with licensed counsel before use.</w:t>
      </w:r>
    </w:p>
    <w:sdt>
      <w:sdtPr>
        <w:tag w:val="clarkdown:div"/>
        <ck:div v="|callout|"/>
      </w:sdtPr>
      <w:sdtContent>
        <w:p>
          <w:pPr>
            <w:pStyle w:val="CkCallout"/>
          </w:pPr>
          <w:r>
            <w:rPr>
              <w:b/>
            </w:rPr>
            <w:t>Attorney Review Required.</w:t>
          </w:r>
          <w:r>
            <w:t xml:space="preserve"> This template is provided by ProperFile for general informational purposes only and does not constitute legal advice. Flat-fee arrangements are subject to your jurisdiction's Rules of Professional Conduct, including rules on fee reasonableness, trust accounting, and "true retainer" treatment. Have a licensed attorney in your jurisdiction review this agreement before use.</w:t>
          </w:r>
        </w:p>
      </w:sdtContent>
    </w:sdt>
    <w:p>
      <w:r>
        <w:t xml:space="preserve">This Flat Fee Legal Services Agreement ("Agreement") is entered into as of </w:t>
      </w:r>
      <w:r>
        <w:rPr>
          <w:b/>
        </w:rPr>
        <w:t>[Date]</w:t>
      </w:r>
      <w:r>
        <w:t xml:space="preserve">, by and between </w:t>
      </w:r>
      <w:r>
        <w:rPr>
          <w:b/>
        </w:rPr>
        <w:t>[Law Firm Name]</w:t>
      </w:r>
      <w:r>
        <w:t xml:space="preserve"> ("Attorney") and </w:t>
      </w:r>
      <w:r>
        <w:rPr>
          <w:b/>
        </w:rPr>
        <w:t>[Client Name]</w:t>
      </w:r>
      <w:r>
        <w:t xml:space="preserve"> ("Client").</w:t>
      </w:r>
    </w:p>
    <w:p>
      <w:pPr>
        <w:pStyle w:val="Heading2"/>
        <ck:id v="1-scope-of-services-included"/>
      </w:pPr>
      <w:bookmarkStart w:id="1" w:name="_1_scope_of_services_included"/>
      <w:r>
        <w:t>1. Scope of Services Included</w:t>
      </w:r>
      <w:bookmarkEnd w:id="1"/>
    </w:p>
    <w:p>
      <w:r>
        <w:t>Attorney agrees to perform the following services for a flat fee, as described below:</w:t>
      </w:r>
    </w:p>
    <w:p>
      <w:r>
        <w:rPr>
          <w:b/>
        </w:rPr>
        <w:t>[Describe scope in detail — e.g., "Preparation and filing of an uncontested divorce petition, including one court appearance, and all related filings through entry of final judgment."]</w:t>
      </w:r>
    </w:p>
    <w:p>
      <w:r>
        <w:t xml:space="preserve">The following services are </w:t>
      </w:r>
      <w:r>
        <w:rPr>
          <w:b/>
        </w:rPr>
        <w:t>included</w:t>
      </w:r>
      <w:r>
        <w:t xml:space="preserve"> in the flat fee:</w:t>
      </w:r>
    </w:p>
    <w:p>
      <w:pPr>
        <w:pStyle w:val="ListParagraph"/>
        <w:numPr>
          <w:ilvl w:val="0"/>
          <w:numId w:val="1"/>
        </w:numPr>
      </w:pPr>
      <w:r>
        <w:t>[Service item 1 — e.g., "Initial consultation and case evaluation"]</w:t>
      </w:r>
    </w:p>
    <w:p>
      <w:pPr>
        <w:pStyle w:val="ListParagraph"/>
        <w:numPr>
          <w:ilvl w:val="0"/>
          <w:numId w:val="1"/>
        </w:numPr>
      </w:pPr>
      <w:r>
        <w:t>[Service item 2 — e.g., "Drafting and filing of all standard pleadings"]</w:t>
      </w:r>
    </w:p>
    <w:p>
      <w:pPr>
        <w:pStyle w:val="ListParagraph"/>
        <w:numPr>
          <w:ilvl w:val="0"/>
          <w:numId w:val="1"/>
        </w:numPr>
      </w:pPr>
      <w:r>
        <w:t>[Service item 3 — e.g., "Up to one court appearance"]</w:t>
      </w:r>
    </w:p>
    <w:p>
      <w:pPr>
        <w:pStyle w:val="ListParagraph"/>
        <w:numPr>
          <w:ilvl w:val="0"/>
          <w:numId w:val="1"/>
        </w:numPr>
      </w:pPr>
      <w:r>
        <w:t>[Service item 4]</w:t>
      </w:r>
    </w:p>
    <w:p>
      <w:pPr>
        <w:pStyle w:val="Heading2"/>
        <ck:id v="2-services-not-included"/>
      </w:pPr>
      <w:bookmarkStart w:id="2" w:name="_2_services_not_included"/>
      <w:r>
        <w:t>2. Services Not Included</w:t>
      </w:r>
      <w:bookmarkEnd w:id="2"/>
    </w:p>
    <w:p>
      <w:r>
        <w:t xml:space="preserve">The following are </w:t>
      </w:r>
      <w:r>
        <w:rPr>
          <w:b/>
        </w:rPr>
        <w:t>outside the scope</w:t>
      </w:r>
      <w:r>
        <w:t xml:space="preserve"> of this flat fee and will be billed separately at Attorney's hourly rate of </w:t>
      </w:r>
      <w:r>
        <w:rPr>
          <w:b/>
        </w:rPr>
        <w:t>$[Amount]</w:t>
      </w:r>
      <w:r>
        <w:t xml:space="preserve"> per hour, or under a separate agreement:</w:t>
      </w:r>
    </w:p>
    <w:p>
      <w:pPr>
        <w:pStyle w:val="ListParagraph"/>
        <w:numPr>
          <w:ilvl w:val="0"/>
          <w:numId w:val="2"/>
        </w:numPr>
      </w:pPr>
      <w:r>
        <w:t>Appeals of any decision or order</w:t>
      </w:r>
    </w:p>
    <w:p>
      <w:pPr>
        <w:pStyle w:val="ListParagraph"/>
        <w:numPr>
          <w:ilvl w:val="0"/>
          <w:numId w:val="2"/>
        </w:numPr>
      </w:pPr>
      <w:r>
        <w:t xml:space="preserve">Contested proceedings beyond </w:t>
      </w:r>
      <w:r>
        <w:rPr>
          <w:b/>
        </w:rPr>
        <w:t>[e.g., one hearing]</w:t>
      </w:r>
    </w:p>
    <w:p>
      <w:pPr>
        <w:pStyle w:val="ListParagraph"/>
        <w:numPr>
          <w:ilvl w:val="0"/>
          <w:numId w:val="2"/>
        </w:numPr>
      </w:pPr>
      <w:r>
        <w:t>Additional court appearances beyond those listed in Section 1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>[Other exclusions specific to this matter]</w:t>
      </w:r>
    </w:p>
    <w:p>
      <w:pPr>
        <w:pStyle w:val="Heading2"/>
        <ck:id v="3-flat-fee-amount-and-payment-schedule"/>
      </w:pPr>
      <w:bookmarkStart w:id="3" w:name="_3_flat_fee_amount_and_payment_schedule"/>
      <w:r>
        <w:t>3. Flat Fee Amount and Payment Schedule</w:t>
      </w:r>
      <w:bookmarkEnd w:id="3"/>
    </w:p>
    <w:p>
      <w:r>
        <w:t xml:space="preserve">Total Flat Fee: </w:t>
      </w:r>
      <w:r>
        <w:rPr>
          <w:b/>
        </w:rPr>
        <w:t>$[Amount]</w:t>
      </w:r>
    </w:p>
    <w:p>
      <w:r>
        <w:t>Payment schedule:</w:t>
      </w:r>
    </w:p>
    <w:tbl>
      <w:tblPr>
        <w:tblStyle w:val="CkTable"/>
        <w:tblW w:w="0" w:type="auto"/>
        <w:tblLayout w:type="autofit"/>
        <w:tblLook w:firstRow="1" w:lastRow="0" w:firstColumn="0" w:lastColumn="0" w:noHBand="0" w:noVBand="1"/>
      </w:tblPr>
      <w:tblGrid>
        <w:gridCol/>
        <w:gridCol/>
      </w:tblGrid>
      <w:tr>
        <w:trPr>
          <w:tblHeader/>
        </w:trPr>
        <w:tc>
          <w:tcPr/>
          <w:p>
            <w:r>
              <w:rPr>
                <w:b/>
              </w:rPr>
              <w:t>Milestone</w:t>
            </w:r>
          </w:p>
        </w:tc>
        <w:tc>
          <w:tcPr/>
          <w:p>
            <w:r>
              <w:rPr>
                <w:b/>
              </w:rPr>
              <w:t>Amount Due</w:t>
            </w:r>
          </w:p>
        </w:tc>
      </w:tr>
      <w:tr>
        <w:tc>
          <w:tcPr/>
          <w:p>
            <w:r>
              <w:t>Upon signing this Agreement</w:t>
            </w:r>
          </w:p>
        </w:tc>
        <w:tc>
          <w:tcPr/>
          <w:p>
            <w:r>
              <w:t>$[Amount]</w:t>
            </w:r>
          </w:p>
        </w:tc>
      </w:tr>
      <w:tr>
        <w:tc>
          <w:tcPr/>
          <w:p>
            <w:r>
              <w:rPr>
                <w:b/>
              </w:rPr>
              <w:t>[Milestone 2 — e.g., "Upon filing"]</w:t>
            </w:r>
          </w:p>
        </w:tc>
        <w:tc>
          <w:tcPr/>
          <w:p>
            <w:r>
              <w:t>$[Amount]</w:t>
            </w:r>
          </w:p>
        </w:tc>
      </w:tr>
      <w:tr>
        <w:tc>
          <w:tcPr/>
          <w:p>
            <w:r>
              <w:rPr>
                <w:b/>
              </w:rPr>
              <w:t>[Milestone 3 — e.g., "Upon completion"]</w:t>
            </w:r>
          </w:p>
        </w:tc>
        <w:tc>
          <w:tcPr/>
          <w:p>
            <w:r>
              <w:t>$[Amount]</w:t>
            </w:r>
          </w:p>
        </w:tc>
      </w:tr>
    </w:tbl>
    <w:p>
      <w:pPr>
        <w:pStyle w:val="Heading2"/>
        <ck:id v="4-treatment-of-fee-trust-account"/>
      </w:pPr>
      <w:bookmarkStart w:id="4" w:name="_4_treatment_of_fee_trust_account"/>
      <w:r>
        <w:t>4. Treatment of Fee / Trust Account</w:t>
      </w:r>
      <w:bookmarkEnd w:id="4"/>
    </w:p>
    <w:p>
      <w:r>
        <w:rPr>
          <w:b/>
        </w:rPr>
        <w:t>[Select the applicable provision based on your jurisdiction's rules:]</w:t>
      </w:r>
    </w:p>
    <w:p>
      <w:pPr>
        <w:pStyle w:val="ListParagraph"/>
        <w:numPr>
          <w:ilvl w:val="0"/>
          <w:numId w:val="3"/>
        </w:numPr>
      </w:pPr>
      <w:r>
        <w:t xml:space="preserve">Fees paid under this Agreement will be deposited into Attorney's client trust account and withdrawn as earned under the payment schedule above; </w:t>
      </w:r>
      <w:r>
        <w:rPr>
          <w:b/>
        </w:rPr>
        <w:t>or</w:t>
      </w:r>
    </w:p>
    <w:p>
      <w:pPr>
        <w:pStyle w:val="ListParagraph"/>
        <w:numPr>
          <w:ilvl w:val="0"/>
          <w:numId w:val="3"/>
        </w:numPr>
      </w:pPr>
      <w:r>
        <w:t xml:space="preserve">This is a "true retainer" / flat fee earned upon receipt as permitted under </w:t>
      </w:r>
      <w:r>
        <w:rPr>
          <w:b/>
        </w:rPr>
        <w:t>[applicable state rule]</w:t>
      </w:r>
      <w:r>
        <w:t>, and will be deposited into Attorney's general operating account.</w:t>
      </w:r>
    </w:p>
    <w:p>
      <w:pPr>
        <w:pStyle w:val="Heading2"/>
        <ck:id v="5-costs-and-expenses"/>
      </w:pPr>
      <w:bookmarkStart w:id="5" w:name="_5_costs_and_expenses"/>
      <w:r>
        <w:t>5. Costs and Expenses</w:t>
      </w:r>
      <w:bookmarkEnd w:id="5"/>
    </w:p>
    <w:p>
      <w:r>
        <w:t xml:space="preserve">Court filing fees, service of process fees, and other third-party costs are </w:t>
      </w:r>
      <w:r>
        <w:rPr>
          <w:b/>
        </w:rPr>
        <w:t>not</w:t>
      </w:r>
      <w:r>
        <w:t xml:space="preserve"> included in the flat fee and will be billed separately or paid directly by Client.</w:t>
      </w:r>
    </w:p>
    <w:p>
      <w:pPr>
        <w:pStyle w:val="Heading2"/>
        <ck:id v="6-refunds"/>
      </w:pPr>
      <w:bookmarkStart w:id="6" w:name="_6_refunds"/>
      <w:r>
        <w:t>6. Refunds</w:t>
      </w:r>
      <w:bookmarkEnd w:id="6"/>
    </w:p>
    <w:p>
      <w:r>
        <w:t xml:space="preserve">If Client terminates the representation before the scope of services is complete, Attorney will refund the unearned portion of the flat fee, calculated based on </w:t>
      </w:r>
      <w:r>
        <w:rPr>
          <w:b/>
        </w:rPr>
        <w:t>[the work performed to date at Attorney's standard hourly rate / a pro-rata basis]</w:t>
      </w:r>
      <w:r>
        <w:t>, consistent with applicable Rules of Professional Conduct.</w:t>
      </w:r>
    </w:p>
    <w:p>
      <w:pPr>
        <w:pStyle w:val="Heading2"/>
        <ck:id v="7-no-guarantee-of-outcome"/>
      </w:pPr>
      <w:bookmarkStart w:id="7" w:name="_7_no_guarantee_of_outcome"/>
      <w:r>
        <w:t>7. No Guarantee of Outcome</w:t>
      </w:r>
      <w:bookmarkEnd w:id="7"/>
    </w:p>
    <w:p>
      <w:r>
        <w:t>Client acknowledges that Attorney has made no promise or guarantee regarding the outcome of the matter.</w:t>
      </w:r>
    </w:p>
    <w:p>
      <w:pPr>
        <w:pStyle w:val="Heading2"/>
        <ck:id v="8-governing-law"/>
      </w:pPr>
      <w:bookmarkStart w:id="8" w:name="_8_governing_law"/>
      <w:r>
        <w:t>8. Governing Law</w:t>
      </w:r>
      <w:bookmarkEnd w:id="8"/>
    </w:p>
    <w:p>
      <w:r>
        <w:t xml:space="preserve">This Agreement shall be governed by the laws of the State of </w:t>
      </w:r>
      <w:r>
        <w:rPr>
          <w:b/>
        </w:rPr>
        <w:t>[State]</w:t>
      </w:r>
      <w:r>
        <w:t>.</w:t>
      </w:r>
    </w:p>
    <w:p>
      <w:pPr>
        <w:pBdr>
          <w:bottom w:val="single" w:sz="6" w:space="1" w:color="1A1A1A"/>
        </w:pBdr>
      </w:pPr>
    </w:p>
    <w:p>
      <w:r>
        <w:rPr>
          <w:b/>
        </w:rPr>
        <w:t>Client Signature:</w:t>
      </w:r>
      <w:r>
        <w:t xml:space="preserve"> _______________________________ </w:t>
      </w:r>
      <w:r>
        <w:rPr>
          <w:b/>
        </w:rPr>
        <w:t>Date:</w:t>
      </w:r>
      <w:r>
        <w:t xml:space="preserve"> ___________</w:t>
      </w:r>
    </w:p>
    <w:p>
      <w:r>
        <w:rPr>
          <w:b/>
        </w:rPr>
        <w:t>Attorney Signature:</w:t>
      </w:r>
      <w:r>
        <w:t xml:space="preserve"> _______________________________ </w:t>
      </w:r>
      <w:r>
        <w:rPr>
          <w:b/>
        </w:rPr>
        <w:t>Date:</w:t>
      </w:r>
      <w:r>
        <w:t xml:space="preserve"> ___________</w:t>
      </w:r>
    </w:p>
    <w:sectPr>
      <w:pgSz w:w="12240" w:h="15840"/>
      <w:pgMar w:top="1440" w:right="1440" w:bottom="1440" w:left="1440" w:header="720" w:footer="720" w:gutter="0"/>
    </w:sectPr>
  </w:body>
</w:document>
</file>

<file path=word/fontTable.xml><?xml version="1.0" encoding="utf-8"?>
<w:fonts xmlns:w="http://schemas.openxmlformats.org/wordprocessingml/2006/main">
  <w:font w:name="Calibri">
    <w:family w:val="swiss"/>
  </w:font>
  <w:font w:name="Calibri Light">
    <w:family w:val="swiss"/>
  </w:font>
  <w:font w:name="Consolas">
    <w:family w:val="modern"/>
  </w:font>
</w:fonts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◦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◦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1."/>
      <w:lvlJc w:val="left"/>
      <w:pPr>
        <w:ind w:left="2880" w:hanging="360"/>
      </w:pPr>
    </w:lvl>
    <w:lvl w:ilvl="4">
      <w:start w:val="1"/>
      <w:numFmt w:val="decimal"/>
      <w:lvlText w:val="%2."/>
      <w:lvlJc w:val="left"/>
      <w:pPr>
        <w:ind w:left="3600" w:hanging="360"/>
      </w:pPr>
    </w:lvl>
    <w:lvl w:ilvl="5">
      <w:start w:val="1"/>
      <w:numFmt w:val="decimal"/>
      <w:lvlText w:val="%3."/>
      <w:lvlJc w:val="left"/>
      <w:pPr>
        <w:ind w:left="4320" w:hanging="360"/>
      </w:pPr>
    </w:lvl>
    <w:lvl w:ilvl="6">
      <w:start w:val="1"/>
      <w:numFmt w:val="decimal"/>
      <w:lvlText w:val="%1."/>
      <w:lvlJc w:val="left"/>
      <w:pPr>
        <w:ind w:left="5040" w:hanging="360"/>
      </w:pPr>
    </w:lvl>
    <w:lvl w:ilvl="7">
      <w:start w:val="1"/>
      <w:numFmt w:val="decimal"/>
      <w:lvlText w:val="%2."/>
      <w:lvlJc w:val="left"/>
      <w:pPr>
        <w:ind w:left="5760" w:hanging="360"/>
      </w:pPr>
    </w:lvl>
    <w:lvl w:ilvl="8">
      <w:start w:val="1"/>
      <w:numFmt w:val="decimal"/>
      <w:lvlText w:val="%3."/>
      <w:lvlJc w:val="left"/>
      <w:pPr>
        <w:ind w:left="6480" w:hanging="360"/>
      </w:pPr>
    </w:lvl>
  </w:abstractNum>
  <w:abstractNum w:abstractNumId="3">
    <w:multiLevelType w:val="hybridMultilevel"/>
    <w:lvl w:ilvl="0">
      <w:start w:val="1"/>
      <w:numFmt w:val="bullet"/>
      <w:lvlText w:val="☐"/>
      <w:lvlJc w:val="left"/>
      <w:pPr>
        <w:ind w:left="720" w:hanging="360"/>
      </w:pPr>
    </w:lvl>
    <w:lvl w:ilvl="1">
      <w:start w:val="1"/>
      <w:numFmt w:val="bullet"/>
      <w:lvlText w:val="☐"/>
      <w:lvlJc w:val="left"/>
      <w:pPr>
        <w:ind w:left="1440" w:hanging="360"/>
      </w:pPr>
    </w:lvl>
    <w:lvl w:ilvl="2">
      <w:start w:val="1"/>
      <w:numFmt w:val="bullet"/>
      <w:lvlText w:val="☐"/>
      <w:lvlJc w:val="left"/>
      <w:pPr>
        <w:ind w:left="2160" w:hanging="360"/>
      </w:pPr>
    </w:lvl>
    <w:lvl w:ilvl="3">
      <w:start w:val="1"/>
      <w:numFmt w:val="bullet"/>
      <w:lvlText w:val="☐"/>
      <w:lvlJc w:val="left"/>
      <w:pPr>
        <w:ind w:left="2880" w:hanging="360"/>
      </w:pPr>
    </w:lvl>
    <w:lvl w:ilvl="4">
      <w:start w:val="1"/>
      <w:numFmt w:val="bullet"/>
      <w:lvlText w:val="☐"/>
      <w:lvlJc w:val="left"/>
      <w:pPr>
        <w:ind w:left="3600" w:hanging="360"/>
      </w:pPr>
    </w:lvl>
    <w:lvl w:ilvl="5">
      <w:start w:val="1"/>
      <w:numFmt w:val="bullet"/>
      <w:lvlText w:val="☐"/>
      <w:lvlJc w:val="left"/>
      <w:pPr>
        <w:ind w:left="4320" w:hanging="360"/>
      </w:pPr>
    </w:lvl>
    <w:lvl w:ilvl="6">
      <w:start w:val="1"/>
      <w:numFmt w:val="bullet"/>
      <w:lvlText w:val="☐"/>
      <w:lvlJc w:val="left"/>
      <w:pPr>
        <w:ind w:left="5040" w:hanging="360"/>
      </w:pPr>
    </w:lvl>
    <w:lvl w:ilvl="7">
      <w:start w:val="1"/>
      <w:numFmt w:val="bullet"/>
      <w:lvlText w:val="☐"/>
      <w:lvlJc w:val="left"/>
      <w:pPr>
        <w:ind w:left="5760" w:hanging="360"/>
      </w:pPr>
    </w:lvl>
    <w:lvl w:ilvl="8">
      <w:start w:val="1"/>
      <w:numFmt w:val="bullet"/>
      <w:lvlText w:val="☐"/>
      <w:lvlJc w:val="left"/>
      <w:pPr>
        <w:ind w:left="6480" w:hanging="360"/>
      </w:pPr>
    </w:lvl>
  </w:abstractNum>
  <w:abstractNum w:abstractNumId="4">
    <w:multiLevelType w:val="hybridMultilevel"/>
    <w:lvl w:ilvl="0">
      <w:start w:val="1"/>
      <w:numFmt w:val="bullet"/>
      <w:lvlText w:val="☑"/>
      <w:lvlJc w:val="left"/>
      <w:pPr>
        <w:ind w:left="720" w:hanging="360"/>
      </w:pPr>
    </w:lvl>
    <w:lvl w:ilvl="1">
      <w:start w:val="1"/>
      <w:numFmt w:val="bullet"/>
      <w:lvlText w:val="☑"/>
      <w:lvlJc w:val="left"/>
      <w:pPr>
        <w:ind w:left="1440" w:hanging="360"/>
      </w:pPr>
    </w:lvl>
    <w:lvl w:ilvl="2">
      <w:start w:val="1"/>
      <w:numFmt w:val="bullet"/>
      <w:lvlText w:val="☑"/>
      <w:lvlJc w:val="left"/>
      <w:pPr>
        <w:ind w:left="2160" w:hanging="360"/>
      </w:pPr>
    </w:lvl>
    <w:lvl w:ilvl="3">
      <w:start w:val="1"/>
      <w:numFmt w:val="bullet"/>
      <w:lvlText w:val="☑"/>
      <w:lvlJc w:val="left"/>
      <w:pPr>
        <w:ind w:left="2880" w:hanging="360"/>
      </w:pPr>
    </w:lvl>
    <w:lvl w:ilvl="4">
      <w:start w:val="1"/>
      <w:numFmt w:val="bullet"/>
      <w:lvlText w:val="☑"/>
      <w:lvlJc w:val="left"/>
      <w:pPr>
        <w:ind w:left="3600" w:hanging="360"/>
      </w:pPr>
    </w:lvl>
    <w:lvl w:ilvl="5">
      <w:start w:val="1"/>
      <w:numFmt w:val="bullet"/>
      <w:lvlText w:val="☑"/>
      <w:lvlJc w:val="left"/>
      <w:pPr>
        <w:ind w:left="4320" w:hanging="360"/>
      </w:pPr>
    </w:lvl>
    <w:lvl w:ilvl="6">
      <w:start w:val="1"/>
      <w:numFmt w:val="bullet"/>
      <w:lvlText w:val="☑"/>
      <w:lvlJc w:val="left"/>
      <w:pPr>
        <w:ind w:left="5040" w:hanging="360"/>
      </w:pPr>
    </w:lvl>
    <w:lvl w:ilvl="7">
      <w:start w:val="1"/>
      <w:numFmt w:val="bullet"/>
      <w:lvlText w:val="☑"/>
      <w:lvlJc w:val="left"/>
      <w:pPr>
        <w:ind w:left="5760" w:hanging="360"/>
      </w:pPr>
    </w:lvl>
    <w:lvl w:ilvl="8">
      <w:start w:val="1"/>
      <w:numFmt w:val="bullet"/>
      <w:lvlText w:val="☑"/>
      <w:lvlJc w:val="left"/>
      <w:pPr>
        <w:ind w:left="6480" w:hanging="360"/>
      </w:pPr>
    </w:lvl>
  </w:abstractNum>
  <w:num w:numId="1">
    <w:abstractNumId w:val="3"/>
  </w:num>
  <w:num w:numId="2">
    <w:abstractNumId w:val="1"/>
  </w:num>
  <w:num w:numId="3">
    <w:abstractNumId w:val="1"/>
  </w:num>
</w:numbering>
</file>

<file path=word/settings.xml><?xml version="1.0" encoding="utf-8"?>
<w:settings xmlns:w="http://schemas.openxmlformats.org/wordprocessingml/2006/main">
  <w:defaultTabStop w:val="720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en-US"/>
      </w:rPr>
    </w:rPrDefault>
    <w:pPrDefault>
      <w:pPr>
        <w:spacing w:after="160" w:line="312" w:lineRule="auto"/>
      </w:pPr>
    </w:pPrDefault>
  </w:docDefaults>
  <w:style w:type="paragraph" w:styleId="Normal" w:default="1">
    <w:name w:val="Normal"/>
  </w:style>
  <w:style w:type="paragraph" w:styleId="Heading1" w:default="0">
    <w:name w:val="heading 1"/>
    <w:basedOn w:val="Normal"/>
    <w:next w:val="Normal"/>
    <w:pPr>
      <w:keepNext/>
      <w:keepLines/>
      <w:spacing w:before="320" w:line="264" w:lineRule="auto"/>
      <w:outlineLvl w:val="0"/>
    </w:pPr>
    <w:rPr>
      <w:rFonts w:ascii="Calibri Light" w:hAnsi="Calibri Light"/>
      <w:b/>
      <w:color w:val="1A1A1A"/>
      <w:sz w:val="43"/>
      <w:szCs w:val="43"/>
    </w:rPr>
  </w:style>
  <w:style w:type="paragraph" w:styleId="Heading2" w:default="0">
    <w:name w:val="heading 2"/>
    <w:basedOn w:val="Normal"/>
    <w:next w:val="Normal"/>
    <w:pPr>
      <w:keepNext/>
      <w:keepLines/>
      <w:spacing w:before="320" w:line="264" w:lineRule="auto"/>
      <w:outlineLvl w:val="1"/>
    </w:pPr>
    <w:rPr>
      <w:rFonts w:ascii="Calibri Light" w:hAnsi="Calibri Light"/>
      <w:b/>
      <w:sz w:val="34"/>
      <w:szCs w:val="34"/>
    </w:rPr>
  </w:style>
  <w:style w:type="paragraph" w:styleId="Heading3" w:default="0">
    <w:name w:val="heading 3"/>
    <w:basedOn w:val="Normal"/>
    <w:next w:val="Normal"/>
    <w:pPr>
      <w:keepNext/>
      <w:keepLines/>
      <w:spacing w:before="160" w:line="264" w:lineRule="auto"/>
      <w:outlineLvl w:val="2"/>
    </w:pPr>
    <w:rPr>
      <w:rFonts w:ascii="Calibri Light" w:hAnsi="Calibri Light"/>
      <w:b/>
      <w:sz w:val="28"/>
      <w:szCs w:val="28"/>
    </w:rPr>
  </w:style>
  <w:style w:type="paragraph" w:styleId="Heading4" w:default="0">
    <w:name w:val="heading 4"/>
    <w:basedOn w:val="Normal"/>
    <w:next w:val="Normal"/>
    <w:pPr>
      <w:keepNext/>
      <w:keepLines/>
      <w:spacing w:before="160" w:line="264" w:lineRule="auto"/>
      <w:outlineLvl w:val="3"/>
    </w:pPr>
    <w:rPr>
      <w:rFonts w:ascii="Calibri Light" w:hAnsi="Calibri Light"/>
      <w:b/>
      <w:sz w:val="22"/>
      <w:szCs w:val="22"/>
    </w:rPr>
  </w:style>
  <w:style w:type="paragraph" w:styleId="Heading5" w:default="0">
    <w:name w:val="heading 5"/>
    <w:basedOn w:val="Normal"/>
    <w:next w:val="Normal"/>
    <w:pPr>
      <w:keepNext/>
      <w:keepLines/>
      <w:spacing w:before="160" w:line="264" w:lineRule="auto"/>
      <w:outlineLvl w:val="4"/>
    </w:pPr>
    <w:rPr>
      <w:rFonts w:ascii="Calibri Light" w:hAnsi="Calibri Light"/>
      <w:b/>
      <w:sz w:val="22"/>
      <w:szCs w:val="22"/>
    </w:rPr>
  </w:style>
  <w:style w:type="paragraph" w:styleId="Heading6" w:default="0">
    <w:name w:val="heading 6"/>
    <w:basedOn w:val="Normal"/>
    <w:next w:val="Normal"/>
    <w:pPr>
      <w:keepNext/>
      <w:keepLines/>
      <w:spacing w:before="160" w:line="264" w:lineRule="auto"/>
      <w:outlineLvl w:val="5"/>
    </w:pPr>
    <w:rPr>
      <w:rFonts w:ascii="Calibri Light" w:hAnsi="Calibri Light"/>
      <w:b/>
      <w:sz w:val="22"/>
      <w:szCs w:val="22"/>
    </w:rPr>
  </w:style>
  <w:style w:type="paragraph" w:styleId="Quote" w:default="0">
    <w:name w:val="Quote"/>
    <w:basedOn w:val="Normal"/>
    <w:pPr>
      <w:ind w:left="320"/>
      <w:pBdr>
        <w:left w:val="single" w:sz="24" w:space="12" w:color="BFBFBF"/>
      </w:pBdr>
    </w:pPr>
    <w:rPr>
      <w:i/>
      <w:color w:val="595959"/>
    </w:rPr>
  </w:style>
  <w:style w:type="character" w:styleId="CkHighlight">
    <w:name w:val="Clarkdown Highlight"/>
    <w:rPr>
      <w:shd w:val="clear" w:fill="FFF2A8"/>
    </w:rPr>
  </w:style>
  <w:style w:type="character" w:styleId="CkSmallcaps">
    <w:name w:val="Clarkdown Smallcaps"/>
    <w:rPr>
      <w:smallCaps/>
    </w:rPr>
  </w:style>
  <w:style w:type="character" w:styleId="CkUnderline">
    <w:name w:val="Clarkdown Underline"/>
    <w:rPr>
      <w:u w:val="single"/>
    </w:rPr>
  </w:style>
  <w:style w:type="character" w:styleId="CkMuted">
    <w:name w:val="Clarkdown Muted"/>
    <w:rPr>
      <w:color w:val="595959"/>
    </w:rPr>
  </w:style>
  <w:style w:type="character" w:styleId="CkAccent">
    <w:name w:val="Clarkdown Accent"/>
    <w:rPr>
      <w:color w:val="1A1A1A"/>
    </w:rPr>
  </w:style>
  <w:style w:type="character" w:styleId="CkCaption">
    <w:name w:val="Clarkdown Caption"/>
    <w:rPr>
      <w:i/>
      <w:color w:val="595959"/>
      <w:sz w:val="20"/>
      <w:szCs w:val="20"/>
    </w:rPr>
  </w:style>
  <w:style w:type="paragraph" w:styleId="CkDisplay" w:default="0">
    <w:name w:val="Clarkdown Display"/>
    <w:basedOn w:val="Normal"/>
    <w:next w:val="Normal"/>
    <w:pPr>
      <w:keepNext/>
      <w:keepLines/>
      <w:spacing w:after="240" w:line="264" w:lineRule="auto"/>
    </w:pPr>
    <w:rPr>
      <w:rFonts w:ascii="Calibri Light" w:hAnsi="Calibri Light"/>
      <w:b/>
      <w:color w:val="1A1A1A"/>
      <w:sz w:val="132"/>
      <w:szCs w:val="132"/>
    </w:rPr>
  </w:style>
  <w:style w:type="character" w:styleId="CkKicker">
    <w:name w:val="Clarkdown Kicker"/>
    <w:rPr>
      <w:smallCaps/>
      <w:spacing w:val="18"/>
      <w:color w:val="595959"/>
    </w:rPr>
  </w:style>
  <w:style w:type="paragraph" w:styleId="CkTrackedCaps" w:default="0">
    <w:name w:val="Clarkdown Tracked Caps"/>
    <w:basedOn w:val="Normal"/>
    <w:next w:val="Normal"/>
    <w:rPr>
      <w:smallCaps/>
      <w:spacing w:val="18"/>
    </w:rPr>
  </w:style>
  <w:style w:type="paragraph" w:styleId="Title" w:default="0">
    <w:name w:val="Title"/>
    <w:basedOn w:val="Normal"/>
    <w:next w:val="Normal"/>
    <w:pPr>
      <w:keepNext/>
      <w:keepLines/>
      <w:spacing w:after="240" w:line="264" w:lineRule="auto"/>
    </w:pPr>
    <w:rPr>
      <w:rFonts w:ascii="Calibri Light" w:hAnsi="Calibri Light"/>
      <w:b/>
      <w:sz w:val="54"/>
      <w:szCs w:val="54"/>
    </w:rPr>
  </w:style>
  <w:style w:type="character" w:styleId="Hyperlink">
    <w:name w:val="Hyperlink"/>
    <w:rPr>
      <w:color w:val="1A1A1A"/>
      <w:u w:val="single"/>
    </w:rPr>
  </w:style>
  <w:style w:type="paragraph" w:styleId="CkCodeBlock" w:default="0">
    <w:name w:val="Clarkdown Code Block"/>
    <w:basedOn w:val="Normal"/>
    <w:pPr>
      <w:shd w:val="clear" w:fill="EDEDED"/>
      <w:spacing w:after="0" w:line="240" w:lineRule="auto"/>
    </w:pPr>
    <w:rPr>
      <w:rFonts w:ascii="Consolas" w:hAnsi="Consolas"/>
      <w:noProof/>
      <w:sz w:val="20"/>
    </w:rPr>
  </w:style>
  <w:style w:type="character" w:styleId="CkCode">
    <w:name w:val="Clarkdown Code"/>
    <w:rPr>
      <w:rFonts w:ascii="Consolas" w:hAnsi="Consolas"/>
      <w:shd w:val="clear" w:fill="EDEDED"/>
      <w:sz w:val="20"/>
    </w:rPr>
  </w:style>
  <w:style w:type="paragraph" w:styleId="Caption" w:default="0">
    <w:name w:val="caption"/>
    <w:basedOn w:val="Normal"/>
    <w:rPr>
      <w:i/>
      <w:sz w:val="18"/>
    </w:rPr>
  </w:style>
  <w:style w:type="paragraph" w:styleId="ListParagraph" w:default="0">
    <w:name w:val="List Paragraph"/>
    <w:basedOn w:val="Normal"/>
    <w:pPr>
      <w:ind w:left="320"/>
    </w:pPr>
  </w:style>
  <w:style w:type="paragraph" w:styleId="CkUnknown" w:default="0">
    <w:name w:val="Clarkdown Unknown"/>
    <w:basedOn w:val="Normal"/>
    <w:pPr>
      <w:shd w:val="clear" w:fill="FFEEEE"/>
    </w:pPr>
  </w:style>
  <w:style w:type="paragraph" w:styleId="FootnoteText" w:default="0">
    <w:name w:val="footnote text"/>
    <w:basedOn w:val="Normal"/>
    <w:rPr>
      <w:sz w:val="18"/>
    </w:rPr>
  </w:style>
  <w:style w:type="character" w:styleId="FootnoteReference">
    <w:name w:val="footnote reference"/>
    <w:rPr>
      <w:vertAlign w:val="superscript"/>
    </w:rPr>
  </w:style>
  <w:style w:type="table" w:styleId="CkTable">
    <w:name w:val="Clarkdown Table"/>
    <w:tblPr>
      <w:tblBorders>
        <w:top w:val="single" w:sz="4" w:color="BFBFBF"/>
        <w:left w:val="single" w:sz="4" w:color="BFBFBF"/>
        <w:bottom w:val="single" w:sz="4" w:color="BFBFBF"/>
        <w:right w:val="single" w:sz="4" w:color="BFBFBF"/>
        <w:insideH w:val="single" w:sz="4" w:color="BFBFBF"/>
        <w:insideV w:val="single" w:sz="4" w:color="BFBFBF"/>
      </w:tblBorders>
      <w:tblCellMar>
        <w:top w:w="80" w:type="dxa"/>
        <w:left w:w="80" w:type="dxa"/>
        <w:bottom w:w="80" w:type="dxa"/>
        <w:right w:w="80" w:type="dxa"/>
      </w:tblCellMar>
    </w:tblPr>
  </w:style>
  <w:style w:type="table" w:styleId="CkLayout">
    <w:name w:val="Clarkdown Layout"/>
    <w:tblPr>
      <w:tblBorders>
        <w:top w:val="none"/>
        <w:left w:val="none"/>
        <w:bottom w:val="none"/>
        <w:right w:val="none"/>
        <w:insideH w:val="none"/>
        <w:insideV w:val="none"/>
      </w:tblBorders>
    </w:tblPr>
  </w:style>
  <w:style w:type="paragraph" w:styleId="CkNote" w:default="0">
    <w:name w:val="Clarkdown Note"/>
    <w:basedOn w:val="Normal"/>
    <w:pPr>
      <w:pBdr>
        <w:left w:val="single" w:sz="24" w:space="8" w:color="2F6FEB"/>
      </w:pBdr>
      <w:ind w:left="240"/>
    </w:pPr>
  </w:style>
  <w:style w:type="paragraph" w:styleId="CkTip" w:default="0">
    <w:name w:val="Clarkdown Tip"/>
    <w:basedOn w:val="Normal"/>
    <w:pPr>
      <w:pBdr>
        <w:left w:val="single" w:sz="24" w:space="8" w:color="1A7F37"/>
      </w:pBdr>
      <w:ind w:left="240"/>
    </w:pPr>
  </w:style>
  <w:style w:type="paragraph" w:styleId="CkWarning" w:default="0">
    <w:name w:val="Clarkdown Warning"/>
    <w:basedOn w:val="Normal"/>
    <w:pPr>
      <w:pBdr>
        <w:left w:val="single" w:sz="24" w:space="8" w:color="9A6700"/>
      </w:pBdr>
      <w:ind w:left="240"/>
    </w:pPr>
  </w:style>
  <w:style w:type="paragraph" w:styleId="CkImportant" w:default="0">
    <w:name w:val="Clarkdown Important"/>
    <w:basedOn w:val="Normal"/>
    <w:pPr>
      <w:pBdr>
        <w:left w:val="single" w:sz="24" w:space="8" w:color="8250DF"/>
      </w:pBdr>
      <w:ind w:left="240"/>
    </w:pPr>
  </w:style>
  <w:style w:type="paragraph" w:styleId="CkCaution" w:default="0">
    <w:name w:val="Clarkdown Caution"/>
    <w:basedOn w:val="Normal"/>
    <w:pPr>
      <w:pBdr>
        <w:left w:val="single" w:sz="24" w:space="8" w:color="CF222E"/>
      </w:pBdr>
      <w:ind w:left="240"/>
    </w:pPr>
  </w:style>
  <w:style w:type="paragraph" w:styleId="CkCallout" w:default="0">
    <w:name w:val="CkCallout"/>
    <w:basedOn w:val="Normal"/>
  </w:style>
</w:styles>
</file>

<file path=word/_rels/document.xml.rels><?xml version="1.0" encoding="UTF-8" standalone="yes"?>
<Relationships xmlns="http://schemas.openxmlformats.org/package/2006/relationships"><Relationship Id="rIdStyles" Type="http://schemas.openxmlformats.org/officeDocument/2006/relationships/styles" Target="styles.xml"/><Relationship Id="rIdNumbering" Type="http://schemas.openxmlformats.org/officeDocument/2006/relationships/numbering" Target="numbering.xml"/><Relationship Id="rIdFonts" Type="http://schemas.openxmlformats.org/officeDocument/2006/relationships/fontTable" Target="fontTable.xml"/><Relationship Id="rIdSettings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